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0EB1D6D2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C575F1">
        <w:rPr>
          <w:rFonts w:ascii="Arial" w:hAnsi="Arial" w:cs="Arial"/>
          <w:b/>
          <w:szCs w:val="20"/>
        </w:rPr>
        <w:t>Załącznik nr 1 do Wniosku o dofinansowanie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5C6C31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</w:rPr>
      </w:pPr>
    </w:p>
    <w:p w14:paraId="75FE8110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FAA3E38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Typ beneficjenta</w:t>
      </w:r>
    </w:p>
    <w:p w14:paraId="0121CA7B" w14:textId="56E3CEA4" w:rsidR="005C6C31" w:rsidRPr="005C6C31" w:rsidRDefault="005C6C31" w:rsidP="005C6C31">
      <w:pPr>
        <w:spacing w:before="120"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że znajduję się </w:t>
      </w:r>
      <w:r w:rsidRPr="005C6C31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 </w:t>
      </w:r>
    </w:p>
    <w:p w14:paraId="7C7B4091" w14:textId="77777777" w:rsidR="005C6C31" w:rsidRPr="005C6C31" w:rsidRDefault="005C6C31" w:rsidP="005C6C31">
      <w:pPr>
        <w:spacing w:before="120" w:line="360" w:lineRule="auto"/>
        <w:rPr>
          <w:rFonts w:ascii="Arial" w:hAnsi="Arial" w:cs="Arial"/>
          <w:color w:val="FF0000"/>
        </w:rPr>
      </w:pPr>
    </w:p>
    <w:p w14:paraId="0BFC517B" w14:textId="77777777" w:rsidR="005C6C31" w:rsidRDefault="005C6C31" w:rsidP="005C6C31">
      <w:pPr>
        <w:spacing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</w:t>
      </w:r>
      <w:r>
        <w:rPr>
          <w:rFonts w:ascii="Arial" w:hAnsi="Arial" w:cs="Arial"/>
          <w:u w:val="single"/>
        </w:rPr>
        <w:t>um formalnego:</w:t>
      </w:r>
      <w:r>
        <w:rPr>
          <w:rFonts w:ascii="Arial" w:hAnsi="Arial" w:cs="Arial"/>
        </w:rPr>
        <w:t>:</w:t>
      </w:r>
    </w:p>
    <w:p w14:paraId="2CA872E9" w14:textId="77777777" w:rsidR="005C6C31" w:rsidRPr="005C6C31" w:rsidRDefault="005C6C31" w:rsidP="005C6C31">
      <w:pPr>
        <w:tabs>
          <w:tab w:val="right" w:leader="dot" w:pos="8931"/>
        </w:tabs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554D184E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09AA4301" w14:textId="7E35EC4E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83125E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Działania dyskryminujące</w:t>
      </w:r>
    </w:p>
    <w:p w14:paraId="63D92898" w14:textId="45C11EF2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  <w:r w:rsidRPr="005C6C31">
        <w:rPr>
          <w:rFonts w:ascii="Arial" w:hAnsi="Arial" w:cs="Arial"/>
          <w:szCs w:val="20"/>
        </w:rPr>
        <w:t xml:space="preserve"> – nie jestem Jednostką Samorządu Terytorialnego oraz podmiotem kontrolowanym/ zależnym przez w/w Jednostk</w:t>
      </w:r>
      <w:r w:rsidR="00890BA5">
        <w:rPr>
          <w:rFonts w:ascii="Arial" w:hAnsi="Arial" w:cs="Arial"/>
          <w:szCs w:val="20"/>
        </w:rPr>
        <w:t>ę.</w:t>
      </w:r>
    </w:p>
    <w:p w14:paraId="1CF74801" w14:textId="77777777" w:rsidR="005C6C31" w:rsidRPr="005C6C31" w:rsidRDefault="005C6C31" w:rsidP="005C6C31">
      <w:pPr>
        <w:spacing w:before="120" w:after="120" w:line="360" w:lineRule="auto"/>
        <w:rPr>
          <w:rFonts w:ascii="Arial" w:hAnsi="Arial" w:cs="Arial"/>
          <w:b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 </w:t>
      </w:r>
      <w:r w:rsidRPr="005C6C31">
        <w:rPr>
          <w:rFonts w:ascii="Arial" w:hAnsi="Arial" w:cs="Arial"/>
          <w:szCs w:val="20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</w:t>
      </w:r>
      <w:r w:rsidRPr="005C6C31">
        <w:rPr>
          <w:rFonts w:ascii="Arial" w:hAnsi="Arial" w:cs="Arial"/>
          <w:szCs w:val="20"/>
        </w:rPr>
        <w:lastRenderedPageBreak/>
        <w:t xml:space="preserve">jakichkolwiek działań dyskryminujących, w szczególności nie przyjęły obowiązujących aktów prawnych, </w:t>
      </w:r>
      <w:r w:rsidRPr="005C6C31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Pr="005C6C31">
        <w:rPr>
          <w:rFonts w:ascii="Arial" w:hAnsi="Arial" w:cs="Arial"/>
          <w:b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Default="005C6C31" w:rsidP="005C6C31">
      <w:pPr>
        <w:spacing w:line="360" w:lineRule="auto"/>
        <w:rPr>
          <w:rFonts w:ascii="Arial" w:hAnsi="Arial" w:cs="Arial"/>
          <w:u w:val="single"/>
        </w:rPr>
      </w:pPr>
    </w:p>
    <w:p w14:paraId="55F8798C" w14:textId="58DF6126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85BCDE5" w14:textId="75B7796C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83125E">
        <w:rPr>
          <w:rFonts w:ascii="Arial" w:hAnsi="Arial" w:cs="Arial"/>
          <w:b/>
        </w:rPr>
        <w:t>2</w:t>
      </w:r>
      <w:r w:rsidRPr="005C6C31">
        <w:rPr>
          <w:rFonts w:ascii="Arial" w:hAnsi="Arial" w:cs="Arial"/>
          <w:b/>
        </w:rPr>
        <w:t>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Przeniesienie produkcji</w:t>
      </w:r>
    </w:p>
    <w:p w14:paraId="34F6A275" w14:textId="77777777" w:rsidR="005C6C31" w:rsidRPr="005C6C31" w:rsidRDefault="005C6C31" w:rsidP="005C6C31">
      <w:pPr>
        <w:spacing w:line="360" w:lineRule="auto"/>
        <w:rPr>
          <w:rFonts w:ascii="Arial" w:hAnsi="Arial" w:cs="Arial"/>
          <w:bCs/>
          <w:u w:val="single"/>
        </w:rPr>
      </w:pPr>
    </w:p>
    <w:p w14:paraId="74C33B4B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</w:t>
      </w:r>
      <w:r w:rsidRPr="005C6C31">
        <w:rPr>
          <w:rFonts w:ascii="Arial" w:hAnsi="Arial" w:cs="Arial"/>
        </w:rPr>
        <w:t>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4E070F1B" w14:textId="77777777" w:rsidR="005C6C31" w:rsidRPr="00354F15" w:rsidRDefault="005C6C31" w:rsidP="005C6C31">
      <w:pPr>
        <w:spacing w:before="120" w:after="120" w:line="360" w:lineRule="auto"/>
        <w:rPr>
          <w:rFonts w:ascii="Arial" w:hAnsi="Arial" w:cs="Arial"/>
          <w:b/>
          <w:color w:val="FF0000"/>
        </w:rPr>
      </w:pPr>
    </w:p>
    <w:p w14:paraId="7FDB5666" w14:textId="77777777" w:rsidR="005C6C31" w:rsidRPr="005C6C31" w:rsidRDefault="005C6C31" w:rsidP="005C6C31">
      <w:pPr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odporności infrastruktury na zmiany klimatu</w:t>
      </w:r>
    </w:p>
    <w:p w14:paraId="1C8E7C3F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214133A9" w14:textId="1ABA25A3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C50263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Odporność infrastruktury na zmiany klimatu</w:t>
      </w:r>
    </w:p>
    <w:p w14:paraId="5D67ABC4" w14:textId="77777777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6D356215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Oświadczam, </w:t>
      </w:r>
      <w:r w:rsidRPr="005C6C31">
        <w:rPr>
          <w:rFonts w:ascii="Arial" w:hAnsi="Arial" w:cs="Arial"/>
        </w:rPr>
        <w:t>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475CAC04" w14:textId="6299B8F1" w:rsidR="00205B47" w:rsidRPr="00205B47" w:rsidRDefault="00205B47" w:rsidP="005C6C31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</w:t>
      </w:r>
      <w:r w:rsidR="0023380C">
        <w:rPr>
          <w:rFonts w:ascii="Arial" w:hAnsi="Arial" w:cs="Arial"/>
          <w:u w:val="single"/>
        </w:rPr>
        <w:t>um merytorycznego:</w:t>
      </w:r>
    </w:p>
    <w:p w14:paraId="622C6CF1" w14:textId="0F294E2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 xml:space="preserve">nr </w:t>
      </w:r>
      <w:r w:rsidR="00227E7B">
        <w:rPr>
          <w:rFonts w:ascii="Arial" w:hAnsi="Arial" w:cs="Arial"/>
          <w:b/>
        </w:rPr>
        <w:t>2</w:t>
      </w:r>
      <w:r w:rsidRPr="0076157A">
        <w:rPr>
          <w:rFonts w:ascii="Arial" w:hAnsi="Arial" w:cs="Arial"/>
          <w:b/>
        </w:rPr>
        <w:t>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56E4CC42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lastRenderedPageBreak/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excel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C90639">
        <w:rPr>
          <w:rFonts w:ascii="Arial" w:hAnsi="Arial" w:cs="Arial"/>
        </w:rPr>
        <w:t>z</w:t>
      </w:r>
      <w:r w:rsidR="00960419" w:rsidRPr="00DC4053">
        <w:rPr>
          <w:rFonts w:ascii="Arial" w:hAnsi="Arial" w:cs="Arial"/>
        </w:rPr>
        <w:t>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</w:t>
      </w:r>
      <w:r w:rsidRPr="00C53C29">
        <w:rPr>
          <w:rFonts w:ascii="Arial" w:hAnsi="Arial" w:cs="Arial"/>
        </w:rPr>
        <w:lastRenderedPageBreak/>
        <w:t xml:space="preserve">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6DCD9534" w:rsidR="00D3664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354F15" w:rsidRDefault="000F7BF4" w:rsidP="00AB18BA">
      <w:pPr>
        <w:spacing w:line="360" w:lineRule="auto"/>
        <w:rPr>
          <w:rFonts w:ascii="Arial" w:hAnsi="Arial" w:cs="Arial"/>
          <w:color w:val="FF0000"/>
          <w:szCs w:val="20"/>
        </w:rPr>
      </w:pPr>
    </w:p>
    <w:p w14:paraId="018225AD" w14:textId="77A38B03" w:rsidR="000F7BF4" w:rsidRPr="005C6C31" w:rsidRDefault="000F7BF4" w:rsidP="000F7BF4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inwestycji produkcyjnych w przedsiębiorstwach innych niż MŚP</w:t>
      </w:r>
    </w:p>
    <w:p w14:paraId="4DC8F339" w14:textId="79C79477" w:rsidR="006C0C8A" w:rsidRPr="005C6C31" w:rsidRDefault="006C0C8A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merytorycznego:</w:t>
      </w:r>
    </w:p>
    <w:p w14:paraId="3B17C792" w14:textId="43DBD5BD" w:rsidR="00D55E4E" w:rsidRPr="005C6C31" w:rsidRDefault="006C0C8A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433ADE" w:rsidRPr="005C6C31">
        <w:rPr>
          <w:rFonts w:ascii="Arial" w:hAnsi="Arial" w:cs="Arial"/>
          <w:b/>
        </w:rPr>
        <w:t>5</w:t>
      </w:r>
      <w:r w:rsidRPr="005C6C31">
        <w:rPr>
          <w:rFonts w:ascii="Arial" w:hAnsi="Arial" w:cs="Arial"/>
          <w:b/>
        </w:rPr>
        <w:t>: Inwestycje produkcyjne w przedsiębiorstwach innych niż MŚP</w:t>
      </w:r>
    </w:p>
    <w:p w14:paraId="0D634CD5" w14:textId="77777777" w:rsidR="00020740" w:rsidRPr="005C6C31" w:rsidRDefault="00020740" w:rsidP="00020740">
      <w:pPr>
        <w:spacing w:before="120" w:after="120"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</w:rPr>
        <w:t xml:space="preserve">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34D2BBBF" w14:textId="1F1D9E6A" w:rsidR="006C0C8A" w:rsidRPr="005C6C31" w:rsidRDefault="00020740" w:rsidP="00020740">
      <w:pPr>
        <w:spacing w:after="240" w:line="360" w:lineRule="auto"/>
        <w:rPr>
          <w:rFonts w:ascii="Arial" w:hAnsi="Arial" w:cs="Arial"/>
          <w:iCs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 </w:t>
      </w:r>
      <w:r w:rsidR="006C0C8A" w:rsidRPr="005C6C31">
        <w:rPr>
          <w:rFonts w:ascii="Arial" w:hAnsi="Arial" w:cs="Arial"/>
          <w:szCs w:val="20"/>
        </w:rPr>
        <w:t xml:space="preserve">Oświadczam, </w:t>
      </w:r>
      <w:r w:rsidR="006C0C8A" w:rsidRPr="005C6C31">
        <w:rPr>
          <w:rFonts w:ascii="Arial" w:hAnsi="Arial" w:cs="Arial"/>
        </w:rPr>
        <w:t xml:space="preserve">że projekt dotyczy wsparcia inwestycji produkcyjnych </w:t>
      </w:r>
      <w:r w:rsidR="006C0C8A" w:rsidRPr="005C6C31">
        <w:rPr>
          <w:rFonts w:ascii="Arial" w:hAnsi="Arial" w:cs="Arial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5C6C31">
        <w:rPr>
          <w:rFonts w:ascii="Arial" w:hAnsi="Arial" w:cs="Arial"/>
          <w:iCs/>
        </w:rPr>
        <w:t>Europejskiego Funduszu Rozwoju Regionalnego i Funduszu Spójności.</w:t>
      </w:r>
    </w:p>
    <w:p w14:paraId="07AE6091" w14:textId="3854D32B" w:rsidR="00D55E4E" w:rsidRPr="00AB18BA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5C6C31">
        <w:rPr>
          <w:rFonts w:ascii="Arial" w:hAnsi="Arial" w:cs="Arial"/>
        </w:rPr>
        <w:t>Uzasadnienie:</w:t>
      </w:r>
      <w:r w:rsidRPr="005C6C31">
        <w:rPr>
          <w:rFonts w:ascii="Arial" w:hAnsi="Arial" w:cs="Arial"/>
          <w:vertAlign w:val="superscript"/>
        </w:rPr>
        <w:t xml:space="preserve"> </w:t>
      </w:r>
      <w:r w:rsidRPr="005C6C31">
        <w:rPr>
          <w:rFonts w:ascii="Arial" w:hAnsi="Arial" w:cs="Arial"/>
          <w:vertAlign w:val="superscript"/>
        </w:rPr>
        <w:footnoteReference w:id="3"/>
      </w:r>
      <w:r w:rsidRPr="005C6C3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5C6C31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5C6C3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lastRenderedPageBreak/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10875FF2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9368E2" w:rsidRPr="009368E2">
          <w:rPr>
            <w:rFonts w:ascii="Arial" w:eastAsiaTheme="majorEastAsia" w:hAnsi="Arial" w:cs="Arial"/>
            <w:noProof/>
          </w:rPr>
          <w:t>7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1EBC9D48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9368E2" w:rsidRPr="009368E2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  <w:footnote w:id="3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7"/>
  </w:num>
  <w:num w:numId="11">
    <w:abstractNumId w:val="0"/>
  </w:num>
  <w:num w:numId="12">
    <w:abstractNumId w:val="21"/>
  </w:num>
  <w:num w:numId="13">
    <w:abstractNumId w:val="36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3"/>
  </w:num>
  <w:num w:numId="20">
    <w:abstractNumId w:val="16"/>
  </w:num>
  <w:num w:numId="21">
    <w:abstractNumId w:val="39"/>
  </w:num>
  <w:num w:numId="22">
    <w:abstractNumId w:val="34"/>
  </w:num>
  <w:num w:numId="23">
    <w:abstractNumId w:val="25"/>
  </w:num>
  <w:num w:numId="24">
    <w:abstractNumId w:val="41"/>
  </w:num>
  <w:num w:numId="25">
    <w:abstractNumId w:val="42"/>
  </w:num>
  <w:num w:numId="26">
    <w:abstractNumId w:val="10"/>
  </w:num>
  <w:num w:numId="27">
    <w:abstractNumId w:val="27"/>
  </w:num>
  <w:num w:numId="28">
    <w:abstractNumId w:val="38"/>
  </w:num>
  <w:num w:numId="29">
    <w:abstractNumId w:val="29"/>
  </w:num>
  <w:num w:numId="30">
    <w:abstractNumId w:val="6"/>
  </w:num>
  <w:num w:numId="31">
    <w:abstractNumId w:val="22"/>
  </w:num>
  <w:num w:numId="32">
    <w:abstractNumId w:val="14"/>
  </w:num>
  <w:num w:numId="33">
    <w:abstractNumId w:val="30"/>
  </w:num>
  <w:num w:numId="34">
    <w:abstractNumId w:val="24"/>
  </w:num>
  <w:num w:numId="35">
    <w:abstractNumId w:val="15"/>
  </w:num>
  <w:num w:numId="36">
    <w:abstractNumId w:val="12"/>
  </w:num>
  <w:num w:numId="37">
    <w:abstractNumId w:val="35"/>
  </w:num>
  <w:num w:numId="38">
    <w:abstractNumId w:val="5"/>
  </w:num>
  <w:num w:numId="39">
    <w:abstractNumId w:val="4"/>
  </w:num>
  <w:num w:numId="40">
    <w:abstractNumId w:val="9"/>
  </w:num>
  <w:num w:numId="41">
    <w:abstractNumId w:val="31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27E7B"/>
    <w:rsid w:val="0023380C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655C9"/>
    <w:rsid w:val="00567320"/>
    <w:rsid w:val="005C6C31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0C8A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6628"/>
    <w:rsid w:val="0091496A"/>
    <w:rsid w:val="0092226D"/>
    <w:rsid w:val="00923950"/>
    <w:rsid w:val="009368E2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711D"/>
    <w:rsid w:val="00F300BE"/>
    <w:rsid w:val="00F33467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1208-177C-4646-8D04-FD2374E7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7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Patrycja Zielińska</cp:lastModifiedBy>
  <cp:revision>45</cp:revision>
  <cp:lastPrinted>2025-03-17T12:40:00Z</cp:lastPrinted>
  <dcterms:created xsi:type="dcterms:W3CDTF">2024-05-08T12:58:00Z</dcterms:created>
  <dcterms:modified xsi:type="dcterms:W3CDTF">2025-03-17T12:40:00Z</dcterms:modified>
</cp:coreProperties>
</file>