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62B45B6F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</w:t>
      </w:r>
      <w:r w:rsidR="00645444">
        <w:rPr>
          <w:rFonts w:cs="Arial"/>
          <w:b/>
        </w:rPr>
        <w:t>formalnego</w:t>
      </w:r>
      <w:r w:rsidR="00645444">
        <w:rPr>
          <w:rFonts w:cs="Arial"/>
          <w:b/>
        </w:rPr>
        <w:br/>
        <w:t xml:space="preserve"> nr 20 i kryterium </w:t>
      </w:r>
      <w:r w:rsidR="00754374">
        <w:rPr>
          <w:rFonts w:cs="Arial"/>
          <w:b/>
        </w:rPr>
        <w:t xml:space="preserve">merytorycznego </w:t>
      </w:r>
      <w:r w:rsidR="00754374" w:rsidRPr="00645444">
        <w:rPr>
          <w:rFonts w:cs="Arial"/>
          <w:b/>
        </w:rPr>
        <w:t xml:space="preserve">nr </w:t>
      </w:r>
      <w:r w:rsidR="00645444" w:rsidRPr="00645444">
        <w:rPr>
          <w:rFonts w:cs="Arial"/>
          <w:b/>
        </w:rPr>
        <w:t>2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</w:t>
      </w:r>
      <w:bookmarkStart w:id="0" w:name="_GoBack"/>
      <w:bookmarkEnd w:id="0"/>
      <w:r w:rsidR="00B277CC" w:rsidRPr="00735EA4">
        <w:rPr>
          <w:rFonts w:cs="Arial"/>
        </w:rPr>
        <w:t>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29496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29496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29496C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5B76"/>
    <w:rsid w:val="00306C39"/>
    <w:rsid w:val="003070D2"/>
    <w:rsid w:val="00312C16"/>
    <w:rsid w:val="00365A9F"/>
    <w:rsid w:val="003B69E0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F616-D5B3-4CC3-8719-D6756CFF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Patrycja Zielińska</cp:lastModifiedBy>
  <cp:revision>7</cp:revision>
  <cp:lastPrinted>2023-09-22T12:10:00Z</cp:lastPrinted>
  <dcterms:created xsi:type="dcterms:W3CDTF">2024-04-04T07:59:00Z</dcterms:created>
  <dcterms:modified xsi:type="dcterms:W3CDTF">2025-02-10T13:35:00Z</dcterms:modified>
</cp:coreProperties>
</file>