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640710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9213056" w:history="1">
            <w:r w:rsidR="00640710" w:rsidRPr="00573C89">
              <w:rPr>
                <w:rStyle w:val="Hipercze"/>
                <w:noProof/>
              </w:rPr>
              <w:t>I.</w:t>
            </w:r>
            <w:r w:rsidR="00640710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640710" w:rsidRPr="00573C89">
              <w:rPr>
                <w:rStyle w:val="Hipercze"/>
                <w:bCs/>
                <w:noProof/>
              </w:rPr>
              <w:t>Wariant I</w:t>
            </w:r>
            <w:r w:rsidR="00640710" w:rsidRPr="00573C89">
              <w:rPr>
                <w:rStyle w:val="Hipercze"/>
                <w:noProof/>
              </w:rPr>
              <w:t>: analiza ekonomiczna projektu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_Toc149213056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3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7" w:history="1">
            <w:r w:rsidR="00640710" w:rsidRPr="00573C89">
              <w:rPr>
                <w:rStyle w:val="Hipercze"/>
                <w:noProof/>
              </w:rPr>
              <w:t>Informacje podstawowe.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_Toc149213057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5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8" w:history="1">
            <w:r w:rsidR="00640710" w:rsidRPr="00573C89">
              <w:rPr>
                <w:rStyle w:val="Hipercze"/>
                <w:noProof/>
              </w:rPr>
              <w:t>Tabela 1. Analiza kosztów i korzyści (</w:t>
            </w:r>
            <w:r w:rsidR="00640710" w:rsidRPr="00573C89">
              <w:rPr>
                <w:rStyle w:val="Hipercze"/>
                <w:i/>
                <w:iCs/>
                <w:noProof/>
              </w:rPr>
              <w:t>Cost-Benefit Analysis – CBA</w:t>
            </w:r>
            <w:r w:rsidR="00640710" w:rsidRPr="00573C89">
              <w:rPr>
                <w:rStyle w:val="Hipercze"/>
                <w:noProof/>
              </w:rPr>
              <w:t>).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_Toc149213058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7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59" w:history="1">
            <w:r w:rsidR="00640710" w:rsidRPr="00573C89">
              <w:rPr>
                <w:rStyle w:val="Hipercze"/>
                <w:noProof/>
              </w:rPr>
              <w:t>Tabela 2. Analiza finansowa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_Toc149213059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8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0" w:history="1">
            <w:r w:rsidR="00640710" w:rsidRPr="00573C89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_Toc149213060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11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1" w:history="1">
            <w:r w:rsidR="00640710" w:rsidRPr="00573C89">
              <w:rPr>
                <w:rStyle w:val="Hipercze"/>
                <w:noProof/>
              </w:rPr>
              <w:t>Tabela 4. Bilans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_Toc149213061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11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2" w:history="1">
            <w:r w:rsidR="00640710" w:rsidRPr="00573C89">
              <w:rPr>
                <w:rStyle w:val="Hipercze"/>
                <w:noProof/>
              </w:rPr>
              <w:t>Tabela 5. Rachunek zysków i strat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_Toc149213062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13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3" w:history="1">
            <w:r w:rsidR="00640710" w:rsidRPr="00573C89">
              <w:rPr>
                <w:rStyle w:val="Hipercze"/>
                <w:noProof/>
              </w:rPr>
              <w:t>Tabela 6. Rachunek przepływów pieniężnych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_Toc149213063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14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4" w:history="1">
            <w:r w:rsidR="00640710" w:rsidRPr="00573C89">
              <w:rPr>
                <w:rStyle w:val="Hipercze"/>
                <w:noProof/>
              </w:rPr>
              <w:t>Tabela 7. Analiza wskaźnikowa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_Toc149213064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16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5" w:history="1">
            <w:r w:rsidR="00640710" w:rsidRPr="00573C89">
              <w:rPr>
                <w:rStyle w:val="Hipercze"/>
                <w:noProof/>
              </w:rPr>
              <w:t>Tabela 8. Bilans uproszczony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_Toc149213065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16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6" w:history="1">
            <w:r w:rsidR="00640710" w:rsidRPr="00573C89">
              <w:rPr>
                <w:rStyle w:val="Hipercze"/>
                <w:noProof/>
              </w:rPr>
              <w:t>Tabela 9. Rachunek zysków i strat uproszczony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_Toc149213066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17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7" w:history="1">
            <w:r w:rsidR="00640710" w:rsidRPr="00573C89">
              <w:rPr>
                <w:rStyle w:val="Hipercze"/>
                <w:noProof/>
              </w:rPr>
              <w:t>Tabela 10. Analiza wskaźnikowa uproszczona z uwzględnieniem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_Toc149213067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17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49213068" w:history="1">
            <w:r w:rsidR="00640710" w:rsidRPr="00573C89">
              <w:rPr>
                <w:rStyle w:val="Hipercze"/>
                <w:noProof/>
              </w:rPr>
              <w:t>II.</w:t>
            </w:r>
            <w:r w:rsidR="00640710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640710" w:rsidRPr="00573C89">
              <w:rPr>
                <w:rStyle w:val="Hipercze"/>
                <w:noProof/>
              </w:rPr>
              <w:t>Wariant II: ocena ekonomiczno-finansowa przedsiębiorcy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_Toc149213068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19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69" w:history="1">
            <w:r w:rsidR="00640710" w:rsidRPr="00573C89">
              <w:rPr>
                <w:rStyle w:val="Hipercze"/>
                <w:noProof/>
              </w:rPr>
              <w:t>Informacje podstawowe.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_Toc149213069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21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0" w:history="1">
            <w:r w:rsidR="00640710" w:rsidRPr="00573C89">
              <w:rPr>
                <w:rStyle w:val="Hipercze"/>
                <w:noProof/>
              </w:rPr>
              <w:t>Tabela 1. Bilans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_Toc149213070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21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1" w:history="1">
            <w:r w:rsidR="00640710" w:rsidRPr="00573C89">
              <w:rPr>
                <w:rStyle w:val="Hipercze"/>
                <w:noProof/>
              </w:rPr>
              <w:t>Tabela 2. Rachunek zysków i strat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_Toc149213071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23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2" w:history="1">
            <w:r w:rsidR="00640710" w:rsidRPr="00573C89">
              <w:rPr>
                <w:rStyle w:val="Hipercze"/>
                <w:noProof/>
              </w:rPr>
              <w:t>Tabela 3. Rachunek przepływów pieniężnych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_Toc149213072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24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3" w:history="1">
            <w:r w:rsidR="00640710" w:rsidRPr="00573C89">
              <w:rPr>
                <w:rStyle w:val="Hipercze"/>
                <w:noProof/>
              </w:rPr>
              <w:t>Tabela 4. Analiza wskaźnikowa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_Toc149213073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26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4" w:history="1">
            <w:r w:rsidR="00640710" w:rsidRPr="00573C89">
              <w:rPr>
                <w:rStyle w:val="Hipercze"/>
                <w:noProof/>
              </w:rPr>
              <w:t>Tabela 5. Bilans uproszczony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_Toc149213074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26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5" w:history="1">
            <w:r w:rsidR="00640710" w:rsidRPr="00573C89">
              <w:rPr>
                <w:rStyle w:val="Hipercze"/>
                <w:noProof/>
              </w:rPr>
              <w:t>Tabela 6. Rachunek zysków i strat uproszczony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_Toc149213075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27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640710" w:rsidRDefault="0064638E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49213076" w:history="1">
            <w:r w:rsidR="00640710" w:rsidRPr="00573C89">
              <w:rPr>
                <w:rStyle w:val="Hipercze"/>
                <w:noProof/>
              </w:rPr>
              <w:t>Tabela 7. Analiza wskaźnikowa uproszczona bez uwzględnienia projektu.</w:t>
            </w:r>
            <w:r w:rsidR="00640710">
              <w:rPr>
                <w:noProof/>
                <w:webHidden/>
              </w:rPr>
              <w:tab/>
            </w:r>
            <w:r w:rsidR="00640710">
              <w:rPr>
                <w:noProof/>
                <w:webHidden/>
              </w:rPr>
              <w:fldChar w:fldCharType="begin"/>
            </w:r>
            <w:r w:rsidR="00640710">
              <w:rPr>
                <w:noProof/>
                <w:webHidden/>
              </w:rPr>
              <w:instrText xml:space="preserve"> PAGEREF _Toc149213076 \h </w:instrText>
            </w:r>
            <w:r w:rsidR="00640710">
              <w:rPr>
                <w:noProof/>
                <w:webHidden/>
              </w:rPr>
            </w:r>
            <w:r w:rsidR="00640710">
              <w:rPr>
                <w:noProof/>
                <w:webHidden/>
              </w:rPr>
              <w:fldChar w:fldCharType="separate"/>
            </w:r>
            <w:r w:rsidR="00640710">
              <w:rPr>
                <w:noProof/>
                <w:webHidden/>
              </w:rPr>
              <w:t>28</w:t>
            </w:r>
            <w:r w:rsidR="00640710"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B531F" w:rsidRDefault="00BB531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640E35" w:rsidRDefault="00640E35" w:rsidP="00110736">
      <w:pPr>
        <w:pStyle w:val="Nagwek1"/>
      </w:pPr>
      <w:bookmarkStart w:id="0" w:name="_Toc149213056"/>
      <w:r w:rsidRPr="00640E35">
        <w:rPr>
          <w:bCs/>
        </w:rPr>
        <w:lastRenderedPageBreak/>
        <w:t>Wariant I</w:t>
      </w:r>
      <w:r w:rsidRPr="00640E35">
        <w:t>: analiza ekonomiczna projektu</w:t>
      </w:r>
      <w:bookmarkEnd w:id="0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</w:t>
      </w:r>
      <w:r w:rsidR="000B3B94">
        <w:rPr>
          <w:rFonts w:ascii="Arial" w:hAnsi="Arial" w:cs="Arial"/>
          <w:sz w:val="24"/>
          <w:szCs w:val="24"/>
        </w:rPr>
        <w:t xml:space="preserve"> odniesienia wskazany w Regulaminie naboru.</w:t>
      </w:r>
      <w:r w:rsidRPr="00640E35">
        <w:rPr>
          <w:rFonts w:ascii="Arial" w:hAnsi="Arial" w:cs="Arial"/>
          <w:sz w:val="24"/>
          <w:szCs w:val="24"/>
        </w:rPr>
        <w:t xml:space="preserve"> 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  <w:r w:rsidR="00AF1009">
        <w:rPr>
          <w:rFonts w:ascii="Arial" w:hAnsi="Arial" w:cs="Arial"/>
          <w:sz w:val="24"/>
          <w:szCs w:val="24"/>
        </w:rPr>
        <w:t xml:space="preserve"> </w:t>
      </w:r>
      <w:bookmarkStart w:id="1" w:name="_Hlk151624115"/>
      <w:r w:rsidR="00AF1009" w:rsidRPr="00C5567C">
        <w:rPr>
          <w:rFonts w:ascii="Arial" w:hAnsi="Arial" w:cs="Arial"/>
          <w:sz w:val="24"/>
          <w:szCs w:val="24"/>
        </w:rPr>
        <w:t>W tym polu należy również zamieścić informację n</w:t>
      </w:r>
      <w:r w:rsidR="00AF1009">
        <w:rPr>
          <w:rFonts w:ascii="Arial" w:hAnsi="Arial" w:cs="Arial"/>
          <w:sz w:val="24"/>
          <w:szCs w:val="24"/>
        </w:rPr>
        <w:t>a temat</w:t>
      </w:r>
      <w:r w:rsidR="00AF1009" w:rsidRPr="00C5567C">
        <w:rPr>
          <w:rFonts w:ascii="Arial" w:hAnsi="Arial" w:cs="Arial"/>
          <w:sz w:val="24"/>
          <w:szCs w:val="24"/>
        </w:rPr>
        <w:t xml:space="preserve"> założeń przyjętych do sporządzenia prognozy.</w:t>
      </w:r>
      <w:r w:rsidR="00AF1009"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1"/>
      <w:bookmarkEnd w:id="2"/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5434C6">
      <w:pPr>
        <w:pStyle w:val="Nagwek2"/>
      </w:pPr>
      <w:bookmarkStart w:id="3" w:name="_Toc149213057"/>
      <w:r w:rsidRPr="00B86656">
        <w:t>Informacje</w:t>
      </w:r>
      <w:r w:rsidRPr="00640E35">
        <w:t xml:space="preserve"> podstawowe.</w:t>
      </w:r>
      <w:bookmarkEnd w:id="3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– wybór z rozwijanej listy z liczbą w przedziale 1-30, pole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Komentarz – </w:t>
      </w:r>
      <w:r w:rsidR="00DF2F51" w:rsidRPr="00DF2F51">
        <w:rPr>
          <w:rFonts w:ascii="Arial" w:hAnsi="Arial" w:cs="Arial"/>
          <w:sz w:val="24"/>
          <w:szCs w:val="24"/>
        </w:rPr>
        <w:t>informacja na temat założeń przyjętych do sporządzenia prognozy. Miejsce na adnotację w  przypadku niepokrywającego się roku obrachunkowego z rokiem kalendarzowym, bądź w przypadku roku obrachunkowego dłuższego (krótszego) niż 12 miesięcy.</w:t>
      </w:r>
    </w:p>
    <w:p w:rsidR="00640E35" w:rsidRPr="00694EDD" w:rsidRDefault="00640E35" w:rsidP="005434C6">
      <w:pPr>
        <w:pStyle w:val="Nagwek2"/>
      </w:pPr>
      <w:bookmarkStart w:id="4" w:name="_Toc149213058"/>
      <w:r w:rsidRPr="00694EDD">
        <w:lastRenderedPageBreak/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4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5434C6">
      <w:pPr>
        <w:pStyle w:val="Nagwek2"/>
      </w:pPr>
      <w:bookmarkStart w:id="5" w:name="_Toc149213059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5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:rsidR="00640E35" w:rsidRPr="00694EDD" w:rsidRDefault="00640E35" w:rsidP="005434C6">
      <w:pPr>
        <w:pStyle w:val="Nagwek2"/>
      </w:pPr>
      <w:bookmarkStart w:id="6" w:name="_Toc149213060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6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o historycznym wykonaniu budżetu w formie uproszczonej oraz prognozach (zgodnych z wieloletnią prognozą finansową)</w:t>
      </w:r>
      <w:r w:rsidR="00F35324">
        <w:rPr>
          <w:rFonts w:ascii="Arial" w:hAnsi="Arial" w:cs="Arial"/>
          <w:sz w:val="24"/>
          <w:szCs w:val="24"/>
        </w:rPr>
        <w:t>.</w:t>
      </w:r>
      <w:r w:rsidRPr="0058644E">
        <w:rPr>
          <w:rFonts w:ascii="Arial" w:hAnsi="Arial" w:cs="Arial"/>
          <w:sz w:val="24"/>
          <w:szCs w:val="24"/>
        </w:rPr>
        <w:t xml:space="preserve">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Wydatki majątkowe – wydatki związane z utrzymaniem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640E35" w:rsidRPr="00694EDD" w:rsidRDefault="00640E35" w:rsidP="005434C6">
      <w:pPr>
        <w:pStyle w:val="Nagwek2"/>
      </w:pPr>
      <w:bookmarkStart w:id="7" w:name="_Toc149213061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7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Inwestycje krótkoterminowe – inwestycje w aktywa posiadające termin wymagalności krótszy niż 12 miesięcy: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640E35" w:rsidRPr="00694EDD" w:rsidRDefault="00640E35" w:rsidP="005434C6">
      <w:pPr>
        <w:pStyle w:val="Nagwek2"/>
      </w:pPr>
      <w:bookmarkStart w:id="8" w:name="_Toc149213062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8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Przychody ze sprzedaży produktów – zgodnie ze sprawozdaniami finansowymi, bez sprzedaży towarów i materiałów,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Pozostałe obowiązkowe zmniejszenia zysku – zgodnie ze sprawozdaniami finansowymi,</w:t>
      </w:r>
    </w:p>
    <w:p w:rsidR="00640E35" w:rsidRPr="00694EDD" w:rsidRDefault="00640E35" w:rsidP="005434C6">
      <w:pPr>
        <w:pStyle w:val="Nagwek2"/>
      </w:pPr>
      <w:bookmarkStart w:id="9" w:name="_Toc149213063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9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640E35" w:rsidRPr="00694EDD" w:rsidRDefault="00640E35" w:rsidP="005434C6">
      <w:pPr>
        <w:pStyle w:val="Nagwek2"/>
      </w:pPr>
      <w:bookmarkStart w:id="10" w:name="_Toc149213064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10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5434C6">
      <w:pPr>
        <w:pStyle w:val="Nagwek2"/>
      </w:pPr>
      <w:bookmarkStart w:id="11" w:name="_Toc149213065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1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prognozy. Jest oparty na danych z Podatkowej Książki Przychodów 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Z zakresu środków trwałych – pozycja obejmująca całość majątku trwałego przedsiębiorcy, składającego się z: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5434C6">
      <w:pPr>
        <w:pStyle w:val="Nagwek2"/>
      </w:pPr>
      <w:bookmarkStart w:id="12" w:name="_Toc149213066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2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Rachunek zysków i strat jest sporządzany dla scenariusza uwzględniającego przyznanie projektu, obejmuje dane historyczne i prognozy. Jest oparty na danych</w:t>
      </w:r>
      <w:r w:rsidR="00F3532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z Podatkowej Książki Przychodów 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5434C6">
      <w:pPr>
        <w:pStyle w:val="Nagwek2"/>
      </w:pPr>
      <w:bookmarkStart w:id="13" w:name="_Toc149213067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3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F05773" w:rsidRDefault="00F05773" w:rsidP="00F05773">
      <w:pPr>
        <w:pStyle w:val="Nagwek1"/>
      </w:pPr>
      <w:bookmarkStart w:id="14" w:name="_Toc149213068"/>
      <w:r w:rsidRPr="00F05773">
        <w:lastRenderedPageBreak/>
        <w:t>Wariant II: ocena ekonomiczno-finansowa przedsiębiorcy</w:t>
      </w:r>
      <w:bookmarkEnd w:id="14"/>
    </w:p>
    <w:p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0B3B94" w:rsidRPr="000B3B94">
        <w:rPr>
          <w:rFonts w:ascii="Arial" w:hAnsi="Arial" w:cs="Arial"/>
          <w:sz w:val="24"/>
          <w:szCs w:val="24"/>
        </w:rPr>
        <w:t xml:space="preserve"> </w:t>
      </w:r>
      <w:r w:rsidR="000B3B94">
        <w:rPr>
          <w:rFonts w:ascii="Arial" w:hAnsi="Arial" w:cs="Arial"/>
          <w:sz w:val="24"/>
          <w:szCs w:val="24"/>
        </w:rPr>
        <w:t>odniesienia wskazany w Regulaminie naboru.</w:t>
      </w:r>
      <w:r w:rsidR="00F35324">
        <w:rPr>
          <w:rFonts w:ascii="Arial" w:hAnsi="Arial" w:cs="Arial"/>
          <w:sz w:val="24"/>
          <w:szCs w:val="24"/>
        </w:rPr>
        <w:t xml:space="preserve"> </w:t>
      </w: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  <w:r w:rsidR="001335EE">
        <w:rPr>
          <w:rFonts w:ascii="Arial" w:hAnsi="Arial" w:cs="Arial"/>
          <w:sz w:val="24"/>
          <w:szCs w:val="24"/>
        </w:rPr>
        <w:t xml:space="preserve"> </w:t>
      </w:r>
      <w:r w:rsidR="001335EE" w:rsidRPr="001335EE">
        <w:rPr>
          <w:rFonts w:ascii="Arial" w:hAnsi="Arial" w:cs="Arial"/>
          <w:sz w:val="24"/>
          <w:szCs w:val="24"/>
        </w:rPr>
        <w:t>W tym polu należy również zamieścić informację na temat założeń przyjętych do sporządzenia prognozy.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F05773" w:rsidRDefault="00F05773" w:rsidP="005434C6">
      <w:pPr>
        <w:pStyle w:val="Nagwek2"/>
      </w:pPr>
      <w:bookmarkStart w:id="15" w:name="_Toc149213069"/>
      <w:r w:rsidRPr="00F05773">
        <w:t>Informacje podstawowe.</w:t>
      </w:r>
      <w:bookmarkEnd w:id="15"/>
    </w:p>
    <w:p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Tytuł projektu,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Komentarz – </w:t>
      </w:r>
      <w:r w:rsidR="0064638E" w:rsidRPr="0064638E">
        <w:rPr>
          <w:rFonts w:ascii="Arial" w:hAnsi="Arial" w:cs="Arial"/>
          <w:sz w:val="24"/>
          <w:szCs w:val="24"/>
        </w:rPr>
        <w:t>informacja na temat założeń przyjętych do sporządzenia prognozy. Miejsce na adnotację w  przypadku niepokrywającego się roku obrachunkowego z rokiem kalendarzowym, bądź w przypadku roku obrachunkowego dłuższego (krótszego) niż 12 miesięcy.</w:t>
      </w:r>
    </w:p>
    <w:p w:rsidR="00F05773" w:rsidRPr="00F05773" w:rsidRDefault="00F05773" w:rsidP="005434C6">
      <w:pPr>
        <w:pStyle w:val="Nagwek2"/>
      </w:pPr>
      <w:bookmarkStart w:id="16" w:name="_Toc149213070"/>
      <w:r w:rsidRPr="00F05773">
        <w:t>Tabela 1. Bilans bez uwzględnienia projektu.</w:t>
      </w:r>
      <w:bookmarkEnd w:id="16"/>
    </w:p>
    <w:p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</w:t>
      </w:r>
      <w:r w:rsidR="00F35324">
        <w:rPr>
          <w:rFonts w:ascii="Arial" w:hAnsi="Arial" w:cs="Arial"/>
          <w:sz w:val="24"/>
          <w:szCs w:val="24"/>
        </w:rPr>
        <w:t>.</w:t>
      </w:r>
    </w:p>
    <w:p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Pozostałe środki trwałe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Pozostałe – krótkoterminowe zgodnie ze sprawozdaniami finansowymi,</w:t>
      </w:r>
    </w:p>
    <w:p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F05773" w:rsidRPr="00F05773" w:rsidRDefault="00F05773" w:rsidP="005434C6">
      <w:pPr>
        <w:pStyle w:val="Nagwek2"/>
      </w:pPr>
      <w:bookmarkStart w:id="17" w:name="_Toc149213071"/>
      <w:r w:rsidRPr="00F05773">
        <w:t>Tabela 2. Rachunek zysków i strat bez uwzględnienia projektu.</w:t>
      </w:r>
      <w:bookmarkEnd w:id="17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</w:t>
      </w:r>
      <w:r w:rsidR="00F35324">
        <w:rPr>
          <w:rFonts w:ascii="Arial" w:hAnsi="Arial" w:cs="Arial"/>
          <w:sz w:val="24"/>
          <w:szCs w:val="24"/>
        </w:rPr>
        <w:t>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Dotacje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odsetki – od kredytów i pożyczek,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F05773" w:rsidRPr="00F05773" w:rsidRDefault="00F05773" w:rsidP="005434C6">
      <w:pPr>
        <w:pStyle w:val="Nagwek2"/>
      </w:pPr>
      <w:bookmarkStart w:id="18" w:name="_Toc149213072"/>
      <w:r w:rsidRPr="00F05773">
        <w:t>Tabela 3. Rachunek przepływów pieniężnych bez uwzględnienia projektu.</w:t>
      </w:r>
      <w:bookmarkEnd w:id="18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</w:t>
      </w:r>
      <w:r w:rsidR="00F35324">
        <w:rPr>
          <w:rFonts w:ascii="Arial" w:hAnsi="Arial" w:cs="Arial"/>
          <w:sz w:val="24"/>
          <w:szCs w:val="24"/>
        </w:rPr>
        <w:t>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05773" w:rsidRPr="008D2A37">
        <w:rPr>
          <w:rFonts w:ascii="Arial" w:hAnsi="Arial" w:cs="Arial"/>
          <w:sz w:val="24"/>
          <w:szCs w:val="24"/>
        </w:rPr>
        <w:t>mortyzację,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zapasów,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należności,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 korekty.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</w:t>
      </w:r>
      <w:r w:rsidRPr="008D2A37">
        <w:rPr>
          <w:rFonts w:ascii="Arial" w:hAnsi="Arial" w:cs="Arial"/>
          <w:sz w:val="24"/>
          <w:szCs w:val="24"/>
        </w:rPr>
        <w:lastRenderedPageBreak/>
        <w:t xml:space="preserve">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inwestycyjne,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aktywa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inwestycyjne,</w:t>
      </w:r>
    </w:p>
    <w:p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 i pożyczki,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wpływy finansowe,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 kredytów i pożyczek:</w:t>
      </w:r>
    </w:p>
    <w:p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 tym długoterminowych,</w:t>
      </w:r>
    </w:p>
    <w:p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 wydatki finansowe,</w:t>
      </w:r>
    </w:p>
    <w:p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F05773" w:rsidRPr="00F05773" w:rsidRDefault="00F05773" w:rsidP="005434C6">
      <w:pPr>
        <w:pStyle w:val="Nagwek2"/>
      </w:pPr>
      <w:bookmarkStart w:id="19" w:name="_Toc149213073"/>
      <w:r w:rsidRPr="00F05773">
        <w:t>Tabela 4. Analiza wskaźnikowa bez uwzględnienia projektu.</w:t>
      </w:r>
      <w:bookmarkEnd w:id="19"/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:rsidR="00F05773" w:rsidRPr="00F05773" w:rsidRDefault="00F05773" w:rsidP="005434C6">
      <w:pPr>
        <w:pStyle w:val="Nagwek2"/>
      </w:pPr>
      <w:bookmarkStart w:id="20" w:name="_Toc149213074"/>
      <w:r w:rsidRPr="00F05773">
        <w:lastRenderedPageBreak/>
        <w:t>Tabela 5. Bilans uproszczony bez uwzględnienia projektu.</w:t>
      </w:r>
      <w:bookmarkEnd w:id="20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 i urządzeń,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 transportu,</w:t>
      </w:r>
    </w:p>
    <w:p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nnych.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F05773" w:rsidRPr="00F05773" w:rsidRDefault="00F05773" w:rsidP="005434C6">
      <w:pPr>
        <w:pStyle w:val="Nagwek2"/>
      </w:pPr>
      <w:bookmarkStart w:id="21" w:name="_Toc149213075"/>
      <w:r w:rsidRPr="00F05773">
        <w:t>Tabela 6. Rachunek zysków i strat uproszczony bez uwzględnienia projektu.</w:t>
      </w:r>
      <w:bookmarkEnd w:id="21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prognozy. Jest oparty na danych z </w:t>
      </w:r>
      <w:r w:rsidRPr="008D2A37">
        <w:rPr>
          <w:rFonts w:ascii="Arial" w:hAnsi="Arial" w:cs="Arial"/>
          <w:sz w:val="24"/>
          <w:szCs w:val="24"/>
        </w:rPr>
        <w:lastRenderedPageBreak/>
        <w:t>Podatkowej Książki Przychodów i Rozchodów (jak też innych uproszczonych form rozliczenia prowadzonej działalności).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 towarów handlowych i materiałów,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uboczne zakupu,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 reprezentacji i reklamy objęte limitem,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 z narzutami,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 wydatki, w tym: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amortyzację,</w:t>
      </w:r>
    </w:p>
    <w:p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odsetki od kredytów,</w:t>
      </w:r>
    </w:p>
    <w:p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 [+]/spadek stanu zapasów [-]),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początkowy,</w:t>
      </w:r>
    </w:p>
    <w:p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 końcowy,</w:t>
      </w:r>
    </w:p>
    <w:p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F05773" w:rsidRPr="00F05773" w:rsidRDefault="00F05773" w:rsidP="005434C6">
      <w:pPr>
        <w:pStyle w:val="Nagwek2"/>
      </w:pPr>
      <w:bookmarkStart w:id="22" w:name="_Toc149213076"/>
      <w:r w:rsidRPr="00F05773">
        <w:t>Tabela 7. Analiza wskaźnikowa uproszczona bez uwzględnienia projektu.</w:t>
      </w:r>
      <w:bookmarkEnd w:id="22"/>
    </w:p>
    <w:p w:rsidR="00F05773" w:rsidRPr="008D2A37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sectPr w:rsidR="00F05773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B7" w:rsidRDefault="00641DB7" w:rsidP="007C13D0">
      <w:pPr>
        <w:spacing w:after="0" w:line="240" w:lineRule="auto"/>
      </w:pPr>
      <w:r>
        <w:separator/>
      </w:r>
    </w:p>
  </w:endnote>
  <w:endnote w:type="continuationSeparator" w:id="0">
    <w:p w:rsidR="00641DB7" w:rsidRDefault="00641DB7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7234605"/>
      <w:docPartObj>
        <w:docPartGallery w:val="Page Numbers (Bottom of Page)"/>
        <w:docPartUnique/>
      </w:docPartObj>
    </w:sdtPr>
    <w:sdtEndPr/>
    <w:sdtContent>
      <w:p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B7" w:rsidRDefault="00641DB7" w:rsidP="007C13D0">
      <w:pPr>
        <w:spacing w:after="0" w:line="240" w:lineRule="auto"/>
      </w:pPr>
      <w:r>
        <w:separator/>
      </w:r>
    </w:p>
  </w:footnote>
  <w:footnote w:type="continuationSeparator" w:id="0">
    <w:p w:rsidR="00641DB7" w:rsidRDefault="00641DB7" w:rsidP="007C13D0">
      <w:pPr>
        <w:spacing w:after="0" w:line="240" w:lineRule="auto"/>
      </w:pPr>
      <w:r>
        <w:continuationSeparator/>
      </w:r>
    </w:p>
  </w:footnote>
  <w:footnote w:id="1">
    <w:p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04" w:rsidRDefault="00530A04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B3B94"/>
    <w:rsid w:val="000C4AE2"/>
    <w:rsid w:val="00110736"/>
    <w:rsid w:val="001335EE"/>
    <w:rsid w:val="00202D9C"/>
    <w:rsid w:val="00234699"/>
    <w:rsid w:val="002532FD"/>
    <w:rsid w:val="0028101B"/>
    <w:rsid w:val="00286E29"/>
    <w:rsid w:val="002A7E5B"/>
    <w:rsid w:val="002C02B9"/>
    <w:rsid w:val="002D7E2D"/>
    <w:rsid w:val="0031762D"/>
    <w:rsid w:val="003342CA"/>
    <w:rsid w:val="003401C9"/>
    <w:rsid w:val="003C2B87"/>
    <w:rsid w:val="003C6795"/>
    <w:rsid w:val="00424AFB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30A04"/>
    <w:rsid w:val="0054190B"/>
    <w:rsid w:val="00541A04"/>
    <w:rsid w:val="005434C6"/>
    <w:rsid w:val="0058330E"/>
    <w:rsid w:val="00585CE6"/>
    <w:rsid w:val="0058644E"/>
    <w:rsid w:val="005877CC"/>
    <w:rsid w:val="005A0E5B"/>
    <w:rsid w:val="00600F43"/>
    <w:rsid w:val="00640710"/>
    <w:rsid w:val="00640E35"/>
    <w:rsid w:val="00641DB7"/>
    <w:rsid w:val="0064638E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2705"/>
    <w:rsid w:val="00867DC2"/>
    <w:rsid w:val="0088546D"/>
    <w:rsid w:val="008B6143"/>
    <w:rsid w:val="008D2A37"/>
    <w:rsid w:val="008E55B6"/>
    <w:rsid w:val="00931897"/>
    <w:rsid w:val="00A150A6"/>
    <w:rsid w:val="00A15BCC"/>
    <w:rsid w:val="00A21223"/>
    <w:rsid w:val="00A7355C"/>
    <w:rsid w:val="00AA02A8"/>
    <w:rsid w:val="00AD1415"/>
    <w:rsid w:val="00AF1009"/>
    <w:rsid w:val="00B3156F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DF2F51"/>
    <w:rsid w:val="00E00C52"/>
    <w:rsid w:val="00E02B64"/>
    <w:rsid w:val="00E14E65"/>
    <w:rsid w:val="00E53AA1"/>
    <w:rsid w:val="00E60DF8"/>
    <w:rsid w:val="00EC1B9A"/>
    <w:rsid w:val="00EC6185"/>
    <w:rsid w:val="00F05773"/>
    <w:rsid w:val="00F35324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A0999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E35FE-5569-4497-BDE8-D3742E48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5304</Words>
  <Characters>31828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Martyna Kozerawska</cp:lastModifiedBy>
  <cp:revision>9</cp:revision>
  <dcterms:created xsi:type="dcterms:W3CDTF">2023-11-22T09:53:00Z</dcterms:created>
  <dcterms:modified xsi:type="dcterms:W3CDTF">2023-11-23T08:43:00Z</dcterms:modified>
</cp:coreProperties>
</file>